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</w:t>
      </w:r>
    </w:p>
    <w:p w:rsidR="00BC70CA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остановлением</w:t>
      </w:r>
      <w:r>
        <w:rPr>
          <w:sz w:val="27"/>
          <w:szCs w:val="27"/>
        </w:rPr>
        <w:t xml:space="preserve"> А</w:t>
      </w:r>
      <w:r>
        <w:rPr>
          <w:color w:val="000000"/>
          <w:sz w:val="27"/>
          <w:szCs w:val="27"/>
        </w:rPr>
        <w:t>дминистрации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городского округа Мытищи 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«__» _______202</w:t>
      </w:r>
      <w:r>
        <w:rPr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г. №______</w:t>
      </w:r>
    </w:p>
    <w:tbl>
      <w:tblPr>
        <w:tblStyle w:val="af0"/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5635"/>
      </w:tblGrid>
      <w:tr w:rsidR="00E3414C">
        <w:tc>
          <w:tcPr>
            <w:tcW w:w="4786" w:type="dxa"/>
          </w:tcPr>
          <w:p w:rsidR="00E3414C" w:rsidRDefault="00E3414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414C" w:rsidRDefault="00E3414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color w:val="000000"/>
          <w:sz w:val="28"/>
          <w:szCs w:val="28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в границах</w:t>
      </w:r>
      <w:r>
        <w:rPr>
          <w:color w:val="4F81B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округа Мытищи Московской области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</w:t>
      </w:r>
      <w:r>
        <w:rPr>
          <w:color w:val="000000"/>
          <w:sz w:val="28"/>
          <w:szCs w:val="28"/>
        </w:rPr>
        <w:t xml:space="preserve">дзора) на территории Московской области (далее - государственный жилищный надзор), переданных </w:t>
      </w:r>
      <w:r>
        <w:rPr>
          <w:color w:val="000000"/>
          <w:sz w:val="28"/>
          <w:szCs w:val="28"/>
        </w:rPr>
        <w:br/>
        <w:t xml:space="preserve">в соответствии с Законом Московской области от 30.06.2022 № 105/2022-ОЗ </w:t>
      </w:r>
      <w:r>
        <w:rPr>
          <w:color w:val="000000"/>
          <w:sz w:val="28"/>
          <w:szCs w:val="28"/>
        </w:rPr>
        <w:br/>
        <w:t>«О наделении органов местного самоуправления городских округов Московской области отдель</w:t>
      </w:r>
      <w:r>
        <w:rPr>
          <w:color w:val="000000"/>
          <w:sz w:val="28"/>
          <w:szCs w:val="28"/>
        </w:rPr>
        <w:t>ными государственными полномочиями Московской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br/>
        <w:t>по осуществлению регионального государственного жилищного контроля (надзора) на территории Московской области», в границах</w:t>
      </w:r>
      <w:r>
        <w:rPr>
          <w:color w:val="4F81B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округа Мытищи Московской области (далее – Программа профилактики) р</w:t>
      </w:r>
      <w:r>
        <w:rPr>
          <w:color w:val="000000"/>
          <w:sz w:val="28"/>
          <w:szCs w:val="28"/>
        </w:rPr>
        <w:t xml:space="preserve">азработана в целях стимулирования добросовестного соблюдения гражданами обязательных требований, устранения условий, причин и факторов, способных привести </w:t>
      </w:r>
      <w:r w:rsidR="00BC70C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ценностям, </w:t>
      </w:r>
      <w:r>
        <w:rPr>
          <w:color w:val="000000"/>
          <w:sz w:val="28"/>
          <w:szCs w:val="28"/>
        </w:rPr>
        <w:t>создания условий для доведения обязательных требований до граждан, повышение информированности</w:t>
      </w:r>
      <w:proofErr w:type="gramEnd"/>
      <w:r>
        <w:rPr>
          <w:color w:val="000000"/>
          <w:sz w:val="28"/>
          <w:szCs w:val="28"/>
        </w:rPr>
        <w:t xml:space="preserve"> о способах их соблюдения.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Программа профилактики разработана и подлежит исполнению 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дминистрацией городского округа Мытищи</w:t>
      </w:r>
      <w:r>
        <w:rPr>
          <w:color w:val="4F81B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Московской области (далее – </w:t>
      </w:r>
      <w:r>
        <w:rPr>
          <w:color w:val="000000"/>
          <w:sz w:val="28"/>
          <w:szCs w:val="28"/>
        </w:rPr>
        <w:t>Администрация).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Анализ текущего состояния осуществления государственного жилищного надзора, описание текущего развития профилактической деятельности Администрации, характеристика проблем, на решение которых направлена Программа профилактики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Вид регионального государственного контроля (надзора): региональный государственный жилищный контроль (надзор) на территории Московской области в границах</w:t>
      </w:r>
      <w:r>
        <w:rPr>
          <w:color w:val="4F81B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округа Мытищи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Московской области.</w:t>
      </w:r>
    </w:p>
    <w:p w:rsidR="00E3414C" w:rsidRDefault="00D26ECC" w:rsidP="00BC70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 xml:space="preserve">Предметом государственного жилищного надзора является соблюдение гражданами (далее – контролируемые лица) требований Правил пользования газом </w:t>
      </w:r>
      <w:r>
        <w:rPr>
          <w:color w:val="000000"/>
          <w:sz w:val="28"/>
          <w:szCs w:val="28"/>
        </w:rPr>
        <w:br/>
        <w:t>в части обеспечения безопасности при использовании и содержании внутридомового и внутриквартирного газового об</w:t>
      </w:r>
      <w:r>
        <w:rPr>
          <w:color w:val="000000"/>
          <w:sz w:val="28"/>
          <w:szCs w:val="28"/>
        </w:rPr>
        <w:t>орудования при предоставлении коммунальной услуги по газоснабжению (далее – Правила пользования газом), утверждённых постановлением Правительства Российской Федерации от 14.05.2013 № 410 «О мерах по обеспечению безопасности при использовании и содержании в</w:t>
      </w:r>
      <w:r>
        <w:rPr>
          <w:color w:val="000000"/>
          <w:sz w:val="28"/>
          <w:szCs w:val="28"/>
        </w:rPr>
        <w:t>нутридомового и внутриквартирного газового оборудования» по:</w:t>
      </w:r>
      <w:proofErr w:type="gramEnd"/>
    </w:p>
    <w:p w:rsidR="00E3414C" w:rsidRDefault="00D26ECC" w:rsidP="00BC70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заключению договора о техническом обслуживании и ремонте внутриквартирного газового оборудования;</w:t>
      </w:r>
    </w:p>
    <w:p w:rsidR="00E3414C" w:rsidRDefault="00D26ECC" w:rsidP="00BC70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обеспечению допуска юридического лица, индивидуального предпринимателя, осуществляющих деятел</w:t>
      </w:r>
      <w:r>
        <w:rPr>
          <w:color w:val="000000"/>
          <w:sz w:val="28"/>
          <w:szCs w:val="28"/>
        </w:rPr>
        <w:t xml:space="preserve">ьность по техническому обслуживанию </w:t>
      </w:r>
      <w:r>
        <w:rPr>
          <w:color w:val="000000"/>
          <w:sz w:val="28"/>
          <w:szCs w:val="28"/>
        </w:rPr>
        <w:br/>
        <w:t>и ремонту внутриквартирного газового оборудования для выполнения работ (оказания услуг) по договору о техническом обслуживании и ремонте внутриквартирного газового оборудования.</w:t>
      </w:r>
    </w:p>
    <w:p w:rsidR="00E3414C" w:rsidRDefault="00D26ECC" w:rsidP="00BC70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государственного жилищного надз</w:t>
      </w:r>
      <w:r>
        <w:rPr>
          <w:color w:val="000000"/>
          <w:sz w:val="28"/>
          <w:szCs w:val="28"/>
        </w:rPr>
        <w:t>ора является также исполнение решений, принимаемых по результатам контрольных (надзорных) мероприятий.</w:t>
      </w:r>
    </w:p>
    <w:p w:rsidR="00E3414C" w:rsidRDefault="00D26ECC" w:rsidP="00BC70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за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проверок соблюдения действующего законодательства в указанной сфере не проводилось.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осуществляются следующие мероприятия: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размещение на официальном сайте Администрации в сети «Интернет» перечней нормативных правовых актов или </w:t>
      </w:r>
      <w:r>
        <w:rPr>
          <w:color w:val="000000"/>
          <w:sz w:val="28"/>
          <w:szCs w:val="28"/>
        </w:rPr>
        <w:t>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осуществление информирования контролируемых лиц, индивидуальных п</w:t>
      </w:r>
      <w:r>
        <w:rPr>
          <w:color w:val="000000"/>
          <w:sz w:val="28"/>
          <w:szCs w:val="28"/>
        </w:rPr>
        <w:t xml:space="preserve">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обеспечение регулярного обобщен</w:t>
      </w:r>
      <w:r>
        <w:rPr>
          <w:color w:val="000000"/>
          <w:sz w:val="28"/>
          <w:szCs w:val="28"/>
        </w:rPr>
        <w:t xml:space="preserve">ия правоприменительной практики осуществления государственного жилищного надзора и размещение </w:t>
      </w:r>
      <w:r>
        <w:rPr>
          <w:color w:val="000000"/>
          <w:sz w:val="28"/>
          <w:szCs w:val="28"/>
        </w:rPr>
        <w:br/>
        <w:t>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</w:t>
      </w:r>
      <w:r>
        <w:rPr>
          <w:color w:val="000000"/>
          <w:sz w:val="28"/>
          <w:szCs w:val="28"/>
        </w:rPr>
        <w:t>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Обобщение правоприменительной практики осуществляется ежегодно путём сбора и анализа данных о проведённых контрольных (на</w:t>
      </w:r>
      <w:r>
        <w:rPr>
          <w:color w:val="000000"/>
          <w:sz w:val="28"/>
          <w:szCs w:val="28"/>
        </w:rPr>
        <w:t xml:space="preserve">дзорных) мероприятиях </w:t>
      </w:r>
      <w:r>
        <w:rPr>
          <w:color w:val="000000"/>
          <w:sz w:val="28"/>
          <w:szCs w:val="28"/>
        </w:rPr>
        <w:br/>
        <w:t>и их результатах, а также анализа поступивших в адрес Администрации обращений.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обобщения правоприменительной практики Администрация обеспечивает подготовку доклада о правоприменительной практике, содержащего результаты обоб</w:t>
      </w:r>
      <w:r>
        <w:rPr>
          <w:color w:val="000000"/>
          <w:sz w:val="28"/>
          <w:szCs w:val="28"/>
        </w:rPr>
        <w:t xml:space="preserve">щения правоприменительной практики Администрации,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в обязательном порядке проходит публичные обсуждения.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доклада о правоприменительной практике в срок до 20 января года, следующего за отчётным годом, размещается на официальном сайте Админист</w:t>
      </w:r>
      <w:r>
        <w:rPr>
          <w:color w:val="000000"/>
          <w:sz w:val="28"/>
          <w:szCs w:val="28"/>
        </w:rPr>
        <w:t>рации в сети «Интернет».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 о правоприменительной практике утверждается правовым актом 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городского округа Мытищи до 10 февраля года, следующего </w:t>
      </w:r>
      <w:r w:rsidR="00BC70C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за отчётным годом, и размещается на официальном сайте Администрации в сети «Интернет» до 10 мар</w:t>
      </w:r>
      <w:r>
        <w:rPr>
          <w:color w:val="000000"/>
          <w:sz w:val="28"/>
          <w:szCs w:val="28"/>
        </w:rPr>
        <w:t>та года, следующего за отчётным годом.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правоприменительной практике подлежит направлению Администрацией в адрес Главного управления Московской области «Государственная жилищная инспекция Московской области», в течение 2 рабочих дней со дня его раз</w:t>
      </w:r>
      <w:r>
        <w:rPr>
          <w:color w:val="000000"/>
          <w:sz w:val="28"/>
          <w:szCs w:val="28"/>
        </w:rPr>
        <w:t>мещения на официальном сайте Администрации в сети «Интернет».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проведение консультирования в соответствии со статьёй 50 Федерального закона № 248-ФЗ в устной или письменной форме, по телефону, посредством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видео-конференц-связи, на личном приёме, в ходе проведения профилактического мероприятия, контрольного (надзорного) мероприятия;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проведение профилактического визита в соответствии со статьёй 52 Федерального закона № 248-ФЗ.</w:t>
      </w:r>
    </w:p>
    <w:p w:rsidR="00E3414C" w:rsidRDefault="00D26ECC" w:rsidP="00BC70CA">
      <w:pPr>
        <w:shd w:val="clear" w:color="auto" w:fill="FFFFFF"/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4) Объявление предостережений</w:t>
      </w:r>
      <w:r>
        <w:rPr>
          <w:sz w:val="28"/>
          <w:szCs w:val="28"/>
        </w:rPr>
        <w:t xml:space="preserve"> о недопустимости нарушения обязательных требований контролируемыми лицами.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Администрацией в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внеплановых проверок контролируемых лиц </w:t>
      </w:r>
      <w:r w:rsidR="00BC70CA">
        <w:rPr>
          <w:color w:val="000000"/>
          <w:sz w:val="28"/>
          <w:szCs w:val="28"/>
        </w:rPr>
        <w:t xml:space="preserve">               </w:t>
      </w:r>
      <w:bookmarkStart w:id="0" w:name="_GoBack"/>
      <w:bookmarkEnd w:id="0"/>
      <w:r>
        <w:rPr>
          <w:color w:val="000000"/>
          <w:sz w:val="28"/>
          <w:szCs w:val="28"/>
        </w:rPr>
        <w:t>не проводилось.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Раздел 2. Цели и задачи реализации Программы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ascii="yandex-sans" w:eastAsia="yandex-sans" w:hAnsi="yandex-sans" w:cs="yandex-sans"/>
          <w:color w:val="000000"/>
          <w:sz w:val="28"/>
          <w:szCs w:val="28"/>
        </w:rPr>
        <w:t>Целями проведения профилактических мероприятий являются: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</w:t>
      </w:r>
      <w:r>
        <w:rPr>
          <w:rFonts w:ascii="yandex-sans" w:eastAsia="yandex-sans" w:hAnsi="yandex-sans" w:cs="yandex-sans"/>
          <w:color w:val="000000"/>
          <w:sz w:val="28"/>
          <w:szCs w:val="28"/>
        </w:rPr>
        <w:t>тимулирование добросовестного соблюдения обязательных требований контролируемыми лицами</w:t>
      </w:r>
      <w:r>
        <w:rPr>
          <w:color w:val="000000"/>
          <w:sz w:val="28"/>
          <w:szCs w:val="28"/>
        </w:rPr>
        <w:t xml:space="preserve">; 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создание условий для доведения обязательных требований </w:t>
      </w:r>
      <w:r>
        <w:rPr>
          <w:color w:val="000000"/>
          <w:sz w:val="28"/>
          <w:szCs w:val="28"/>
        </w:rPr>
        <w:br/>
        <w:t xml:space="preserve">до контролируемых лиц, повышение информированности о способах </w:t>
      </w:r>
      <w:r>
        <w:rPr>
          <w:color w:val="000000"/>
          <w:sz w:val="28"/>
          <w:szCs w:val="28"/>
        </w:rPr>
        <w:br/>
        <w:t>их соблюдения;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предупреждение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нарушений</w:t>
      </w:r>
      <w:proofErr w:type="gramEnd"/>
      <w:r>
        <w:rPr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Проведение Администрацией профилактических мероприятий направлено </w:t>
      </w:r>
      <w:r>
        <w:rPr>
          <w:color w:val="000000"/>
          <w:sz w:val="28"/>
          <w:szCs w:val="28"/>
        </w:rPr>
        <w:br/>
        <w:t>на решение следующи</w:t>
      </w:r>
      <w:r>
        <w:rPr>
          <w:color w:val="000000"/>
          <w:sz w:val="28"/>
          <w:szCs w:val="28"/>
        </w:rPr>
        <w:t>х задач: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повышение правосознания и правовой культуры контролируемых лиц </w:t>
      </w:r>
      <w:r>
        <w:rPr>
          <w:color w:val="000000"/>
          <w:sz w:val="28"/>
          <w:szCs w:val="28"/>
        </w:rPr>
        <w:br/>
        <w:t>в сфере рассматриваемых правоотношений.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положении о виде государственного жилищного надзора мероприятия, направленные на нематериальное поощрение добросовестных контролируемых лиц, не ус</w:t>
      </w:r>
      <w:r>
        <w:rPr>
          <w:color w:val="000000"/>
          <w:sz w:val="28"/>
          <w:szCs w:val="28"/>
        </w:rPr>
        <w:t xml:space="preserve">тановлены, следовательно, меры стимулирования добросовестности </w:t>
      </w:r>
      <w:r>
        <w:rPr>
          <w:color w:val="000000"/>
          <w:sz w:val="28"/>
          <w:szCs w:val="28"/>
        </w:rPr>
        <w:br/>
        <w:t>в программе не предусмотрены.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Раздел 3. Перечень профилактических мероприятий, сроки (периодичность) их проведения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1"/>
        <w:tblW w:w="99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E3414C">
        <w:trPr>
          <w:trHeight w:val="4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E3414C" w:rsidRDefault="00E3414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Ответственное должностное лицо</w:t>
            </w:r>
          </w:p>
        </w:tc>
      </w:tr>
      <w:tr w:rsidR="00E3414C">
        <w:trPr>
          <w:trHeight w:val="15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</w:t>
            </w:r>
          </w:p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Специалист Администрац</w:t>
            </w:r>
            <w:r>
              <w:rPr>
                <w:color w:val="000000"/>
              </w:rPr>
              <w:t xml:space="preserve">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3414C">
        <w:trPr>
          <w:trHeight w:val="25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правоприменительной практики</w:t>
            </w:r>
          </w:p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проведённых контрольных (надзорных) мероприятиях и их результатах.</w:t>
            </w:r>
          </w:p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обобщения правоприменительной практики Администрация готовит доклад, соде</w:t>
            </w:r>
            <w:r>
              <w:rPr>
                <w:color w:val="000000"/>
              </w:rPr>
              <w:t>ржащий результаты обобщения правоприменительной практики по осуществлению государственного жилищного надзора, который утверждается руководителем Администрации</w:t>
            </w:r>
          </w:p>
          <w:p w:rsidR="00E3414C" w:rsidRDefault="00E3414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3414C" w:rsidRDefault="00E3414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Еежегодно</w:t>
            </w:r>
            <w:proofErr w:type="spellEnd"/>
            <w:r>
              <w:rPr>
                <w:color w:val="000000"/>
              </w:rPr>
              <w:t xml:space="preserve">, не позднее 10 февраля года, следующего за годом обобщения правоприменительной практики. </w:t>
            </w:r>
          </w:p>
          <w:p w:rsidR="00E3414C" w:rsidRDefault="00E3414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>
              <w:t>А</w:t>
            </w:r>
            <w:r>
              <w:rPr>
                <w:color w:val="000000"/>
              </w:rPr>
              <w:t xml:space="preserve">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3414C">
        <w:trPr>
          <w:trHeight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</w:t>
            </w:r>
            <w:r>
              <w:rPr>
                <w:color w:val="000000"/>
              </w:rPr>
              <w:t xml:space="preserve">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3414C" w:rsidRDefault="00E3414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>
              <w:t>А</w:t>
            </w:r>
            <w:r>
              <w:rPr>
                <w:color w:val="000000"/>
              </w:rPr>
              <w:t xml:space="preserve">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3414C">
        <w:trPr>
          <w:trHeight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Консультирование.</w:t>
            </w:r>
          </w:p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FF0000"/>
              </w:rPr>
            </w:pPr>
            <w:r>
              <w:rPr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приёме,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Постоянно по обращениям контролируемых ли</w:t>
            </w:r>
            <w:r>
              <w:rPr>
                <w:color w:val="000000"/>
              </w:rPr>
              <w:t xml:space="preserve">ц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>
              <w:t>А</w:t>
            </w:r>
            <w:r>
              <w:rPr>
                <w:color w:val="000000"/>
              </w:rPr>
              <w:t xml:space="preserve">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3414C">
        <w:trPr>
          <w:trHeight w:val="312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:rsidR="00E3414C" w:rsidRDefault="00E3414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1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Не реже чем 2 раза в год (I и IV квартал 202</w:t>
            </w:r>
            <w:r>
              <w:t>4</w:t>
            </w:r>
            <w:r>
              <w:rPr>
                <w:color w:val="000000"/>
              </w:rPr>
              <w:t xml:space="preserve"> года)</w:t>
            </w:r>
          </w:p>
          <w:p w:rsidR="00E3414C" w:rsidRDefault="00E3414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</w:p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3414C" w:rsidRDefault="00E3414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>
              <w:t>А</w:t>
            </w:r>
            <w:r>
              <w:rPr>
                <w:color w:val="000000"/>
              </w:rPr>
              <w:t xml:space="preserve">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</w:tbl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PT Serif" w:eastAsia="PT Serif" w:hAnsi="PT Serif" w:cs="PT Serif"/>
          <w:color w:val="22272F"/>
          <w:sz w:val="23"/>
          <w:szCs w:val="23"/>
          <w:highlight w:val="white"/>
        </w:rPr>
        <w:t xml:space="preserve"> 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Раздел 4. Показатели результативности и эффективности Программы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f2"/>
        <w:tblW w:w="993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503"/>
        <w:gridCol w:w="4840"/>
      </w:tblGrid>
      <w:tr w:rsidR="00E3414C">
        <w:trPr>
          <w:trHeight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Планируемый показатель</w:t>
            </w:r>
          </w:p>
        </w:tc>
      </w:tr>
      <w:tr w:rsidR="00E3414C">
        <w:trPr>
          <w:trHeight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</w:t>
            </w:r>
            <w:r>
              <w:rPr>
                <w:color w:val="000000"/>
              </w:rPr>
              <w:t>ации</w:t>
            </w:r>
            <w:proofErr w:type="gramStart"/>
            <w:r>
              <w:rPr>
                <w:color w:val="000000"/>
              </w:rPr>
              <w:t>» (%)</w:t>
            </w:r>
            <w:proofErr w:type="gramEnd"/>
          </w:p>
          <w:p w:rsidR="00E3414C" w:rsidRDefault="00E3414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E3414C">
        <w:trPr>
          <w:trHeight w:val="9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государственного жилищного надзора, его опубликование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– 100 %</w:t>
            </w:r>
          </w:p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исполнено – 0%</w:t>
            </w:r>
          </w:p>
        </w:tc>
      </w:tr>
      <w:tr w:rsidR="00E3414C">
        <w:trPr>
          <w:trHeight w:val="9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14C" w:rsidRDefault="00D26ECC" w:rsidP="00BC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009650" cy="51435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где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Пэф</w:t>
      </w:r>
      <w:proofErr w:type="spellEnd"/>
      <w:r>
        <w:rPr>
          <w:color w:val="000000"/>
          <w:sz w:val="28"/>
          <w:szCs w:val="28"/>
        </w:rPr>
        <w:t xml:space="preserve"> - Итоговая оценка эффективности реализации Программы профилактики;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447675" cy="3048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- сумма фактических значений показателей Программы профилактики </w:t>
      </w:r>
      <w:r>
        <w:rPr>
          <w:color w:val="000000"/>
          <w:sz w:val="28"/>
          <w:szCs w:val="28"/>
        </w:rPr>
        <w:br/>
        <w:t>по итогам календарного года;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 - общее количество показателей Программы профилактики.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оценка эффективно</w:t>
      </w:r>
      <w:r>
        <w:rPr>
          <w:color w:val="000000"/>
          <w:sz w:val="28"/>
          <w:szCs w:val="28"/>
        </w:rPr>
        <w:t xml:space="preserve">сти реализации Программы профилактики более 100 %, то считать </w:t>
      </w:r>
      <w:proofErr w:type="spellStart"/>
      <w:r>
        <w:rPr>
          <w:color w:val="000000"/>
          <w:sz w:val="28"/>
          <w:szCs w:val="28"/>
        </w:rPr>
        <w:t>Пэф</w:t>
      </w:r>
      <w:proofErr w:type="spellEnd"/>
      <w:r>
        <w:rPr>
          <w:color w:val="000000"/>
          <w:sz w:val="28"/>
          <w:szCs w:val="28"/>
        </w:rPr>
        <w:t xml:space="preserve"> равным 100 %.</w:t>
      </w:r>
    </w:p>
    <w:p w:rsidR="00E3414C" w:rsidRDefault="00D26EC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proofErr w:type="gramStart"/>
      <w:r>
        <w:rPr>
          <w:color w:val="000000"/>
          <w:sz w:val="28"/>
          <w:szCs w:val="28"/>
        </w:rPr>
        <w:t>оценки эффективности реализации Программы профилактики</w:t>
      </w:r>
      <w:proofErr w:type="gramEnd"/>
      <w:r>
        <w:rPr>
          <w:color w:val="000000"/>
          <w:sz w:val="28"/>
          <w:szCs w:val="28"/>
        </w:rPr>
        <w:t xml:space="preserve"> определяется уровень профилактической работы Администрации.</w:t>
      </w: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3"/>
        <w:tblW w:w="1020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E34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Выполнено </w:t>
            </w:r>
            <w:r>
              <w:rPr>
                <w:color w:val="000000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Выполнено </w:t>
            </w:r>
            <w:r>
              <w:rPr>
                <w:color w:val="000000"/>
                <w:sz w:val="24"/>
                <w:szCs w:val="24"/>
              </w:rPr>
              <w:br/>
              <w:t>от 81% до 100% профилакт</w:t>
            </w:r>
            <w:r>
              <w:rPr>
                <w:color w:val="000000"/>
                <w:sz w:val="24"/>
                <w:szCs w:val="24"/>
              </w:rPr>
              <w:t>ических мероприятий</w:t>
            </w:r>
          </w:p>
        </w:tc>
      </w:tr>
      <w:tr w:rsidR="00E34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Низкий </w:t>
            </w:r>
          </w:p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Default="00D26ECC" w:rsidP="00BC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лидерства</w:t>
            </w:r>
          </w:p>
        </w:tc>
      </w:tr>
    </w:tbl>
    <w:p w:rsidR="00E3414C" w:rsidRDefault="00E3414C" w:rsidP="00BC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rPr>
          <w:color w:val="000000"/>
          <w:sz w:val="28"/>
          <w:szCs w:val="28"/>
        </w:rPr>
      </w:pPr>
    </w:p>
    <w:p w:rsidR="00E3414C" w:rsidRDefault="00E3414C" w:rsidP="00E341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sectPr w:rsidR="00E3414C">
      <w:headerReference w:type="default" r:id="rId10"/>
      <w:pgSz w:w="11906" w:h="16838"/>
      <w:pgMar w:top="851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CC" w:rsidRDefault="00D26ECC" w:rsidP="00BC70CA">
      <w:pPr>
        <w:spacing w:line="240" w:lineRule="auto"/>
        <w:ind w:left="0" w:hanging="2"/>
      </w:pPr>
      <w:r>
        <w:separator/>
      </w:r>
    </w:p>
  </w:endnote>
  <w:endnote w:type="continuationSeparator" w:id="0">
    <w:p w:rsidR="00D26ECC" w:rsidRDefault="00D26ECC" w:rsidP="00BC7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CC" w:rsidRDefault="00D26ECC" w:rsidP="00BC70CA">
      <w:pPr>
        <w:spacing w:line="240" w:lineRule="auto"/>
        <w:ind w:left="0" w:hanging="2"/>
      </w:pPr>
      <w:r>
        <w:separator/>
      </w:r>
    </w:p>
  </w:footnote>
  <w:footnote w:type="continuationSeparator" w:id="0">
    <w:p w:rsidR="00D26ECC" w:rsidRDefault="00D26ECC" w:rsidP="00BC7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4C" w:rsidRDefault="00D26ECC" w:rsidP="00BC7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C70CA">
      <w:rPr>
        <w:color w:val="000000"/>
      </w:rPr>
      <w:fldChar w:fldCharType="separate"/>
    </w:r>
    <w:r w:rsidR="00BC70CA">
      <w:rPr>
        <w:noProof/>
        <w:color w:val="000000"/>
      </w:rPr>
      <w:t>6</w:t>
    </w:r>
    <w:r>
      <w:rPr>
        <w:color w:val="000000"/>
      </w:rPr>
      <w:fldChar w:fldCharType="end"/>
    </w:r>
  </w:p>
  <w:p w:rsidR="00E3414C" w:rsidRDefault="00E3414C" w:rsidP="00BC7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414C"/>
    <w:rsid w:val="00BC70CA"/>
    <w:rsid w:val="00D26ECC"/>
    <w:rsid w:val="00E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b/>
      <w:w w:val="100"/>
      <w:position w:val="-1"/>
      <w:sz w:val="40"/>
      <w:effect w:val="none"/>
      <w:vertAlign w:val="baseline"/>
      <w:cs w:val="0"/>
      <w:em w:val="none"/>
      <w:lang w:val="ru-RU" w:eastAsia="ru-RU" w:bidi="ar-SA"/>
    </w:rPr>
  </w:style>
  <w:style w:type="character" w:customStyle="1" w:styleId="40">
    <w:name w:val="Заголовок 4 Знак"/>
    <w:rPr>
      <w:b/>
      <w:bCs/>
      <w:w w:val="100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nsPlusNormal1">
    <w:name w:val="ConsPlusNormal1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b/>
      <w:w w:val="100"/>
      <w:position w:val="-1"/>
      <w:sz w:val="40"/>
      <w:effect w:val="none"/>
      <w:vertAlign w:val="baseline"/>
      <w:cs w:val="0"/>
      <w:em w:val="none"/>
      <w:lang w:val="ru-RU" w:eastAsia="ru-RU" w:bidi="ar-SA"/>
    </w:rPr>
  </w:style>
  <w:style w:type="character" w:customStyle="1" w:styleId="40">
    <w:name w:val="Заголовок 4 Знак"/>
    <w:rPr>
      <w:b/>
      <w:bCs/>
      <w:w w:val="100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nsPlusNormal1">
    <w:name w:val="ConsPlusNormal1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pmQ5akMJ+g16rJmBe7RjTLW1Q==">CgMxLjA4AHIhMU4xWjd2cm9nQ3ZtSU1ZVk44ZHppd1NpLXFEcTlPSkYz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Бутузова Ольга Владимировна</cp:lastModifiedBy>
  <cp:revision>2</cp:revision>
  <dcterms:created xsi:type="dcterms:W3CDTF">2022-10-03T06:59:00Z</dcterms:created>
  <dcterms:modified xsi:type="dcterms:W3CDTF">2023-09-27T15:48:00Z</dcterms:modified>
</cp:coreProperties>
</file>